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8" w14:textId="77777777" w:rsidR="00357D03" w:rsidRPr="00A1209B" w:rsidRDefault="00357D03" w:rsidP="00357D03">
      <w:pPr>
        <w:pStyle w:val="text-3mezera"/>
        <w:widowControl/>
        <w:jc w:val="left"/>
        <w:rPr>
          <w:rFonts w:ascii="Verdana" w:hAnsi="Verdana" w:cs="Calibri"/>
          <w:sz w:val="12"/>
          <w:szCs w:val="12"/>
        </w:rPr>
      </w:pPr>
    </w:p>
    <w:p w14:paraId="7BAC8118" w14:textId="77777777" w:rsidR="00C95111" w:rsidRPr="00F03B1A" w:rsidRDefault="00C95111" w:rsidP="00C95111">
      <w:pPr>
        <w:pStyle w:val="Zhlav"/>
        <w:jc w:val="center"/>
        <w:rPr>
          <w:b/>
          <w:sz w:val="22"/>
          <w:szCs w:val="22"/>
        </w:rPr>
      </w:pPr>
      <w:r w:rsidRPr="00F03B1A">
        <w:rPr>
          <w:rFonts w:ascii="Verdana" w:eastAsia="Calibri" w:hAnsi="Verdana"/>
          <w:b/>
          <w:sz w:val="22"/>
          <w:szCs w:val="22"/>
        </w:rPr>
        <w:t>Vymezení předmětu dílčích zakázek</w:t>
      </w:r>
    </w:p>
    <w:p w14:paraId="17DAFA13" w14:textId="77777777" w:rsidR="00C95111" w:rsidRPr="00A1209B" w:rsidRDefault="00C95111" w:rsidP="00C95111">
      <w:pPr>
        <w:rPr>
          <w:rFonts w:ascii="Verdana" w:hAnsi="Verdana" w:cs="Calibri"/>
          <w:sz w:val="12"/>
          <w:szCs w:val="12"/>
        </w:rPr>
      </w:pPr>
    </w:p>
    <w:p w14:paraId="60F42029" w14:textId="77777777" w:rsidR="00F03B1A" w:rsidRDefault="00F03B1A" w:rsidP="00C95111">
      <w:pPr>
        <w:rPr>
          <w:rFonts w:ascii="Verdana" w:hAnsi="Verdana" w:cs="Calibri"/>
          <w:sz w:val="18"/>
          <w:szCs w:val="18"/>
        </w:rPr>
      </w:pPr>
    </w:p>
    <w:p w14:paraId="6A307047" w14:textId="31D53C27" w:rsidR="00F03B1A" w:rsidRPr="003320F3" w:rsidRDefault="00F03B1A" w:rsidP="00F03B1A">
      <w:pPr>
        <w:rPr>
          <w:rFonts w:ascii="Verdana" w:hAnsi="Verdana" w:cs="Calibri"/>
          <w:sz w:val="18"/>
          <w:szCs w:val="18"/>
        </w:rPr>
      </w:pPr>
      <w:r w:rsidRPr="00C64F5D">
        <w:rPr>
          <w:rFonts w:ascii="Verdana" w:hAnsi="Verdana" w:cs="Calibri"/>
          <w:b/>
          <w:sz w:val="18"/>
          <w:szCs w:val="18"/>
        </w:rPr>
        <w:t>Předmětem plnění této veřejné zakázky jsou</w:t>
      </w:r>
      <w:r w:rsidRPr="003320F3">
        <w:rPr>
          <w:rFonts w:ascii="Verdana" w:hAnsi="Verdana" w:cs="Calibri"/>
          <w:sz w:val="18"/>
          <w:szCs w:val="18"/>
        </w:rPr>
        <w:t>:</w:t>
      </w:r>
      <w:bookmarkStart w:id="0" w:name="_GoBack"/>
      <w:bookmarkEnd w:id="0"/>
    </w:p>
    <w:p w14:paraId="300FDBF2" w14:textId="69E81BC6" w:rsidR="00F03B1A" w:rsidRPr="00EA228F" w:rsidRDefault="00F03B1A" w:rsidP="00A1209B">
      <w:pPr>
        <w:pStyle w:val="Odstavecseseznamem"/>
        <w:numPr>
          <w:ilvl w:val="0"/>
          <w:numId w:val="2"/>
        </w:numPr>
        <w:ind w:left="567" w:hanging="501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 xml:space="preserve">opravy </w:t>
      </w:r>
      <w:r w:rsidR="009E369F" w:rsidRPr="003320F3">
        <w:rPr>
          <w:rFonts w:ascii="Verdana" w:hAnsi="Verdana" w:cs="Calibri"/>
          <w:sz w:val="18"/>
          <w:szCs w:val="18"/>
        </w:rPr>
        <w:t xml:space="preserve">a údržba </w:t>
      </w:r>
      <w:r w:rsidRPr="003320F3">
        <w:rPr>
          <w:rFonts w:ascii="Verdana" w:hAnsi="Verdana" w:cs="Calibri"/>
          <w:sz w:val="18"/>
          <w:szCs w:val="18"/>
        </w:rPr>
        <w:t>sdělovacích a zabezpečovacích z</w:t>
      </w:r>
      <w:r w:rsidR="00EA228F">
        <w:rPr>
          <w:rFonts w:ascii="Verdana" w:hAnsi="Verdana" w:cs="Calibri"/>
          <w:sz w:val="18"/>
          <w:szCs w:val="18"/>
        </w:rPr>
        <w:t>ařízení po poruchách, krádežích</w:t>
      </w:r>
      <w:r w:rsidRPr="00EA228F">
        <w:rPr>
          <w:rFonts w:ascii="Verdana" w:hAnsi="Verdana" w:cs="Calibri"/>
          <w:sz w:val="18"/>
          <w:szCs w:val="18"/>
        </w:rPr>
        <w:t xml:space="preserve">; </w:t>
      </w:r>
    </w:p>
    <w:p w14:paraId="7364969C" w14:textId="087BC410" w:rsidR="00F03B1A" w:rsidRPr="003320F3" w:rsidRDefault="00F03B1A" w:rsidP="00A1209B">
      <w:pPr>
        <w:pStyle w:val="Odstavecseseznamem"/>
        <w:numPr>
          <w:ilvl w:val="0"/>
          <w:numId w:val="2"/>
        </w:numPr>
        <w:ind w:left="567" w:hanging="501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náhrady technicky a morálně zastaralých dílů zabezpečovacího a sdělovacího zařízení;</w:t>
      </w:r>
    </w:p>
    <w:p w14:paraId="26136A04" w14:textId="43673CB6" w:rsidR="00F03B1A" w:rsidRPr="003320F3" w:rsidRDefault="009E369F" w:rsidP="00A1209B">
      <w:pPr>
        <w:pStyle w:val="Odstavecseseznamem"/>
        <w:numPr>
          <w:ilvl w:val="0"/>
          <w:numId w:val="2"/>
        </w:numPr>
        <w:ind w:left="567" w:hanging="501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 xml:space="preserve">opravy kabelů a kabelových tras - opravy metalických, optických a hybridních kabelů </w:t>
      </w:r>
      <w:r w:rsidRPr="003320F3">
        <w:rPr>
          <w:rFonts w:ascii="Verdana" w:hAnsi="Verdana" w:cs="Calibri"/>
          <w:sz w:val="18"/>
          <w:szCs w:val="18"/>
        </w:rPr>
        <w:br/>
        <w:t>z důvodu porušení izolace nebo přerušení kontinuity žil, včetně lokalizace poruchy;</w:t>
      </w:r>
    </w:p>
    <w:p w14:paraId="70799891" w14:textId="3FC4E3A2" w:rsidR="00C95111" w:rsidRPr="004E12FD" w:rsidRDefault="00C95111" w:rsidP="00C95111">
      <w:pPr>
        <w:rPr>
          <w:rFonts w:ascii="Verdana" w:hAnsi="Verdana" w:cs="Calibri"/>
          <w:sz w:val="12"/>
          <w:szCs w:val="12"/>
        </w:rPr>
      </w:pPr>
    </w:p>
    <w:p w14:paraId="03DEDA02" w14:textId="7D18E27F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Předmětem plnění je provádění oprav sdělovacího, zabezpečovacího a automatizačního zařízení ve správě SSZT Praha západ:</w:t>
      </w:r>
    </w:p>
    <w:p w14:paraId="175E1E6D" w14:textId="411D6F47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-</w:t>
      </w:r>
      <w:r w:rsidRPr="003320F3">
        <w:rPr>
          <w:rFonts w:ascii="Verdana" w:hAnsi="Verdana" w:cs="Calibri"/>
          <w:sz w:val="18"/>
          <w:szCs w:val="18"/>
        </w:rPr>
        <w:tab/>
        <w:t xml:space="preserve">staničního, mechanického, elektromechanického, reléového zabezpečovacího zařízení </w:t>
      </w:r>
      <w:r w:rsidRPr="003320F3">
        <w:rPr>
          <w:rFonts w:ascii="Verdana" w:hAnsi="Verdana" w:cs="Calibri"/>
          <w:sz w:val="18"/>
          <w:szCs w:val="18"/>
        </w:rPr>
        <w:br/>
        <w:t xml:space="preserve">           a venkovních a vnitřních částí zabezpečovacích zařízení, včetně elektronických prvků </w:t>
      </w:r>
      <w:r w:rsidRPr="003320F3">
        <w:rPr>
          <w:rFonts w:ascii="Verdana" w:hAnsi="Verdana" w:cs="Calibri"/>
          <w:sz w:val="18"/>
          <w:szCs w:val="18"/>
        </w:rPr>
        <w:br/>
        <w:t xml:space="preserve">           a elektronického stavědla</w:t>
      </w:r>
      <w:r w:rsidR="0071165F" w:rsidRPr="003320F3">
        <w:rPr>
          <w:rFonts w:ascii="Verdana" w:hAnsi="Verdana" w:cs="Calibri"/>
          <w:sz w:val="18"/>
          <w:szCs w:val="18"/>
        </w:rPr>
        <w:t>.</w:t>
      </w:r>
    </w:p>
    <w:p w14:paraId="10C1E8B5" w14:textId="2142CDC9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-</w:t>
      </w:r>
      <w:r w:rsidRPr="003320F3">
        <w:rPr>
          <w:rFonts w:ascii="Verdana" w:hAnsi="Verdana" w:cs="Calibri"/>
          <w:sz w:val="18"/>
          <w:szCs w:val="18"/>
        </w:rPr>
        <w:tab/>
        <w:t xml:space="preserve">traťového zabezpečovacího zařízení (hradlový poloautomatický blok, automatické hradlo </w:t>
      </w:r>
      <w:r w:rsidRPr="003320F3">
        <w:rPr>
          <w:rFonts w:ascii="Verdana" w:hAnsi="Verdana" w:cs="Calibri"/>
          <w:sz w:val="18"/>
          <w:szCs w:val="18"/>
        </w:rPr>
        <w:br/>
        <w:t xml:space="preserve">           a automatický blok) a elektronických zařízení</w:t>
      </w:r>
      <w:r w:rsidR="0071165F" w:rsidRPr="003320F3">
        <w:rPr>
          <w:rFonts w:ascii="Verdana" w:hAnsi="Verdana" w:cs="Calibri"/>
          <w:sz w:val="18"/>
          <w:szCs w:val="18"/>
        </w:rPr>
        <w:t>.</w:t>
      </w:r>
    </w:p>
    <w:p w14:paraId="7A092890" w14:textId="1ADD6D71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-</w:t>
      </w:r>
      <w:r w:rsidRPr="003320F3">
        <w:rPr>
          <w:rFonts w:ascii="Verdana" w:hAnsi="Verdana" w:cs="Calibri"/>
          <w:sz w:val="18"/>
          <w:szCs w:val="18"/>
        </w:rPr>
        <w:tab/>
        <w:t>přejezdového zabezpečovacího zařízení mechanického (PZM) a světelného (PZS), včetně</w:t>
      </w:r>
      <w:r w:rsidRPr="003320F3">
        <w:rPr>
          <w:rFonts w:ascii="Verdana" w:hAnsi="Verdana" w:cs="Calibri"/>
          <w:sz w:val="18"/>
          <w:szCs w:val="18"/>
        </w:rPr>
        <w:br/>
        <w:t xml:space="preserve">           elektronických prvků</w:t>
      </w:r>
      <w:r w:rsidR="0071165F" w:rsidRPr="003320F3">
        <w:rPr>
          <w:rFonts w:ascii="Verdana" w:hAnsi="Verdana" w:cs="Calibri"/>
          <w:sz w:val="18"/>
          <w:szCs w:val="18"/>
        </w:rPr>
        <w:t>.</w:t>
      </w:r>
      <w:r w:rsidRPr="003320F3">
        <w:rPr>
          <w:rFonts w:ascii="Verdana" w:hAnsi="Verdana" w:cs="Calibri"/>
          <w:sz w:val="18"/>
          <w:szCs w:val="18"/>
        </w:rPr>
        <w:t xml:space="preserve"> </w:t>
      </w:r>
    </w:p>
    <w:p w14:paraId="4C662116" w14:textId="3BBC3E39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-</w:t>
      </w:r>
      <w:r w:rsidRPr="003320F3">
        <w:rPr>
          <w:rFonts w:ascii="Verdana" w:hAnsi="Verdana" w:cs="Calibri"/>
          <w:sz w:val="18"/>
          <w:szCs w:val="18"/>
        </w:rPr>
        <w:tab/>
        <w:t xml:space="preserve">sdělovacího zařízení (MB telefony, telefonní </w:t>
      </w:r>
      <w:proofErr w:type="spellStart"/>
      <w:r w:rsidRPr="003320F3">
        <w:rPr>
          <w:rFonts w:ascii="Verdana" w:hAnsi="Verdana" w:cs="Calibri"/>
          <w:sz w:val="18"/>
          <w:szCs w:val="18"/>
        </w:rPr>
        <w:t>zapojovače</w:t>
      </w:r>
      <w:proofErr w:type="spellEnd"/>
      <w:r w:rsidRPr="003320F3">
        <w:rPr>
          <w:rFonts w:ascii="Verdana" w:hAnsi="Verdana" w:cs="Calibri"/>
          <w:sz w:val="18"/>
          <w:szCs w:val="18"/>
        </w:rPr>
        <w:t>, venkovní telefonní objekty,</w:t>
      </w:r>
      <w:r w:rsidRPr="003320F3">
        <w:rPr>
          <w:rFonts w:ascii="Verdana" w:hAnsi="Verdana" w:cs="Calibri"/>
          <w:sz w:val="18"/>
          <w:szCs w:val="18"/>
        </w:rPr>
        <w:br/>
        <w:t xml:space="preserve">           rozhlasové zařízení, informační zařízení, EPS, EZS, ASHS, kamerové systémy, prvky DJŽV,</w:t>
      </w:r>
      <w:r w:rsidRPr="003320F3">
        <w:rPr>
          <w:rFonts w:ascii="Verdana" w:hAnsi="Verdana" w:cs="Calibri"/>
          <w:sz w:val="18"/>
          <w:szCs w:val="18"/>
        </w:rPr>
        <w:br/>
        <w:t xml:space="preserve">           přenosová zařízení, sítě aj.)</w:t>
      </w:r>
      <w:r w:rsidR="0071165F" w:rsidRPr="003320F3">
        <w:rPr>
          <w:rFonts w:ascii="Verdana" w:hAnsi="Verdana" w:cs="Calibri"/>
          <w:sz w:val="18"/>
          <w:szCs w:val="18"/>
        </w:rPr>
        <w:t>.</w:t>
      </w:r>
    </w:p>
    <w:p w14:paraId="05101DBD" w14:textId="26F28678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-</w:t>
      </w:r>
      <w:r w:rsidRPr="003320F3">
        <w:rPr>
          <w:rFonts w:ascii="Verdana" w:hAnsi="Verdana" w:cs="Calibri"/>
          <w:sz w:val="18"/>
          <w:szCs w:val="18"/>
        </w:rPr>
        <w:tab/>
        <w:t>spádovištního zařízení</w:t>
      </w:r>
      <w:r w:rsidR="0071165F" w:rsidRPr="003320F3">
        <w:rPr>
          <w:rFonts w:ascii="Verdana" w:hAnsi="Verdana" w:cs="Calibri"/>
          <w:sz w:val="18"/>
          <w:szCs w:val="18"/>
        </w:rPr>
        <w:t>.</w:t>
      </w:r>
    </w:p>
    <w:p w14:paraId="56519FD8" w14:textId="727949F8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-</w:t>
      </w:r>
      <w:r w:rsidRPr="003320F3">
        <w:rPr>
          <w:rFonts w:ascii="Verdana" w:hAnsi="Verdana" w:cs="Calibri"/>
          <w:sz w:val="18"/>
          <w:szCs w:val="18"/>
        </w:rPr>
        <w:tab/>
        <w:t>zařízení nutných pro bezchybný chod technologií (diagnostika, kalibrace a opravy měřících</w:t>
      </w:r>
      <w:r w:rsidRPr="003320F3">
        <w:rPr>
          <w:rFonts w:ascii="Verdana" w:hAnsi="Verdana" w:cs="Calibri"/>
          <w:sz w:val="18"/>
          <w:szCs w:val="18"/>
        </w:rPr>
        <w:br/>
        <w:t xml:space="preserve">           desek měřících ústředen, klimatizace, chladící skříně, ventilace, reléové domky aj).</w:t>
      </w:r>
    </w:p>
    <w:p w14:paraId="146E068D" w14:textId="59399D94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-</w:t>
      </w:r>
      <w:r w:rsidRPr="003320F3">
        <w:rPr>
          <w:rFonts w:ascii="Verdana" w:hAnsi="Verdana" w:cs="Calibri"/>
          <w:sz w:val="18"/>
          <w:szCs w:val="18"/>
        </w:rPr>
        <w:tab/>
        <w:t>odstraňování následků nehodových událostí, násilného poškození zařízení a odstraňování</w:t>
      </w:r>
      <w:r w:rsidRPr="003320F3">
        <w:rPr>
          <w:rFonts w:ascii="Verdana" w:hAnsi="Verdana" w:cs="Calibri"/>
          <w:sz w:val="18"/>
          <w:szCs w:val="18"/>
        </w:rPr>
        <w:br/>
        <w:t xml:space="preserve">           následků kalamitních situací a odcizení.</w:t>
      </w:r>
    </w:p>
    <w:p w14:paraId="5BFE03F9" w14:textId="77777777" w:rsidR="00C95111" w:rsidRPr="00A1209B" w:rsidRDefault="00C95111" w:rsidP="00C95111">
      <w:pPr>
        <w:rPr>
          <w:rFonts w:ascii="Verdana" w:hAnsi="Verdana" w:cs="Calibri"/>
          <w:sz w:val="12"/>
          <w:szCs w:val="12"/>
        </w:rPr>
      </w:pPr>
    </w:p>
    <w:p w14:paraId="3AEB3C80" w14:textId="772EF92A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F03B1A">
        <w:rPr>
          <w:rFonts w:ascii="Verdana" w:hAnsi="Verdana" w:cs="Calibri"/>
          <w:sz w:val="18"/>
          <w:szCs w:val="18"/>
        </w:rPr>
        <w:t xml:space="preserve">Předmětem </w:t>
      </w:r>
      <w:r w:rsidR="0071165F" w:rsidRPr="00F03B1A">
        <w:rPr>
          <w:rFonts w:ascii="Verdana" w:hAnsi="Verdana" w:cs="Calibri"/>
          <w:sz w:val="18"/>
          <w:szCs w:val="18"/>
        </w:rPr>
        <w:t>plnění</w:t>
      </w:r>
      <w:r w:rsidRPr="00F03B1A">
        <w:rPr>
          <w:rFonts w:ascii="Verdana" w:hAnsi="Verdana" w:cs="Calibri"/>
          <w:sz w:val="18"/>
          <w:szCs w:val="18"/>
        </w:rPr>
        <w:t xml:space="preserve"> je provádění prohlídek a zkoušek UTZ v provozu podle ustanovení vyhlášky </w:t>
      </w:r>
      <w:r w:rsidRPr="00F03B1A">
        <w:rPr>
          <w:rFonts w:ascii="Verdana" w:hAnsi="Verdana" w:cs="Calibri"/>
          <w:sz w:val="18"/>
          <w:szCs w:val="18"/>
        </w:rPr>
        <w:br/>
      </w:r>
      <w:r w:rsidRPr="003320F3">
        <w:rPr>
          <w:rFonts w:ascii="Verdana" w:hAnsi="Verdana" w:cs="Calibri"/>
          <w:sz w:val="18"/>
          <w:szCs w:val="18"/>
        </w:rPr>
        <w:t>č. 100/1995 Sb., Řád určených technických zařízení (Řád UTZ) v platném znění, kterým se stanoví podmínky pro provoz, konstrukci a výrobu určených technických zařízení, tj. v určených obvodech provést prohlídky a zkoušky UTZ na staničním, traťovém a přejezdovém zařízení v obvodu SSZT Praha západ. Nedílnou součástí bude vyhotovení protokolu.</w:t>
      </w:r>
    </w:p>
    <w:p w14:paraId="6D7CDA8E" w14:textId="77777777" w:rsidR="00C95111" w:rsidRPr="00A1209B" w:rsidRDefault="00C95111" w:rsidP="00C95111">
      <w:pPr>
        <w:jc w:val="both"/>
        <w:rPr>
          <w:rFonts w:ascii="Verdana" w:hAnsi="Verdana" w:cs="Calibri"/>
          <w:sz w:val="12"/>
          <w:szCs w:val="12"/>
        </w:rPr>
      </w:pPr>
    </w:p>
    <w:p w14:paraId="69D9748B" w14:textId="59BC58DD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 xml:space="preserve">Předmětem </w:t>
      </w:r>
      <w:r w:rsidR="0071165F" w:rsidRPr="003320F3">
        <w:rPr>
          <w:rFonts w:ascii="Verdana" w:hAnsi="Verdana" w:cs="Calibri"/>
          <w:sz w:val="18"/>
          <w:szCs w:val="18"/>
        </w:rPr>
        <w:t>plnění</w:t>
      </w:r>
      <w:r w:rsidRPr="003320F3">
        <w:rPr>
          <w:rFonts w:ascii="Verdana" w:hAnsi="Verdana" w:cs="Calibri"/>
          <w:sz w:val="18"/>
          <w:szCs w:val="18"/>
        </w:rPr>
        <w:t xml:space="preserve"> je provádění kontrol provozuschopnosti zařízení EPS předepsaných vyhláškou MV ČR č. 246/2001 Sb. ze dne 29. června 2001 o stanovení podmínek požární bezpečnosti a výkonu státního požárního dozoru (vyhláška o požární prevenci), ve znění pozdějších předpisů, ČSN 34 2710 čl. 12.1-12.4 ve znění změny č. 1, pravidelných revizí zařízení EPS v souladu s předpisem SŽDC (ČD) T35, čl. 46  a průvodní dokumentací výrobce včetně jejího dodatku, včetně vystavení odpovídajícího dokladu o provedení kontroly a zápisu do Provozní knihy EPS. </w:t>
      </w:r>
    </w:p>
    <w:p w14:paraId="5658D52E" w14:textId="77777777" w:rsidR="00C95111" w:rsidRPr="00A1209B" w:rsidRDefault="00C95111" w:rsidP="00C95111">
      <w:pPr>
        <w:jc w:val="both"/>
        <w:rPr>
          <w:rFonts w:ascii="Verdana" w:hAnsi="Verdana" w:cs="Calibri"/>
          <w:sz w:val="12"/>
          <w:szCs w:val="12"/>
        </w:rPr>
      </w:pPr>
    </w:p>
    <w:p w14:paraId="28F73A00" w14:textId="7C10DE29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 xml:space="preserve">Předmětem plnění je provádění zkoušek činnosti při provozu a kontrol provozuschopnosti autonomních samočinných hasicích systémů (dále jen ASHS) dle Zákona č. 133/1985 Sb. o požární ochraně ve znění pozdějších předpisů, Vyhlášky Ministerstva vnitra 246/2001 Sb. ze dne 29. 6. 2001 o stanovení podmínek požární bezpečnosti a výkonu státního požárního dozoru (vyhláška o požární prevenci) ve znění pozdějších předpisů a zkoušek, kontrol, revizí a údržby systému v souladu </w:t>
      </w:r>
      <w:r w:rsidRPr="003320F3">
        <w:rPr>
          <w:rFonts w:ascii="Verdana" w:hAnsi="Verdana" w:cs="Calibri"/>
          <w:sz w:val="18"/>
          <w:szCs w:val="18"/>
        </w:rPr>
        <w:br/>
        <w:t>s průvodní dokumentací výrobce.</w:t>
      </w:r>
    </w:p>
    <w:p w14:paraId="2F78E83E" w14:textId="77777777" w:rsidR="00C95111" w:rsidRPr="00A1209B" w:rsidRDefault="00C95111" w:rsidP="00C95111">
      <w:pPr>
        <w:jc w:val="both"/>
        <w:rPr>
          <w:rFonts w:ascii="Verdana" w:hAnsi="Verdana" w:cs="Calibri"/>
          <w:sz w:val="12"/>
          <w:szCs w:val="12"/>
        </w:rPr>
      </w:pPr>
    </w:p>
    <w:p w14:paraId="4C726EFC" w14:textId="795307B7" w:rsidR="00C95111" w:rsidRPr="003320F3" w:rsidRDefault="0071165F" w:rsidP="00C95111">
      <w:pPr>
        <w:jc w:val="both"/>
        <w:rPr>
          <w:rFonts w:ascii="Verdana" w:hAnsi="Verdana" w:cs="Calibri"/>
          <w:sz w:val="18"/>
          <w:szCs w:val="18"/>
        </w:rPr>
      </w:pPr>
      <w:r w:rsidRPr="00EA228F">
        <w:rPr>
          <w:rFonts w:ascii="Verdana" w:hAnsi="Verdana" w:cs="Calibri"/>
          <w:sz w:val="18"/>
          <w:szCs w:val="18"/>
        </w:rPr>
        <w:t>Práce na s</w:t>
      </w:r>
      <w:r w:rsidR="00C95111" w:rsidRPr="00EA228F">
        <w:rPr>
          <w:rFonts w:ascii="Verdana" w:hAnsi="Verdana" w:cs="Calibri"/>
          <w:sz w:val="18"/>
          <w:szCs w:val="18"/>
        </w:rPr>
        <w:t>dělovací</w:t>
      </w:r>
      <w:r w:rsidRPr="00EA228F">
        <w:rPr>
          <w:rFonts w:ascii="Verdana" w:hAnsi="Verdana" w:cs="Calibri"/>
          <w:sz w:val="18"/>
          <w:szCs w:val="18"/>
        </w:rPr>
        <w:t>m</w:t>
      </w:r>
      <w:r w:rsidR="00C95111" w:rsidRPr="00EA228F">
        <w:rPr>
          <w:rFonts w:ascii="Verdana" w:hAnsi="Verdana" w:cs="Calibri"/>
          <w:sz w:val="18"/>
          <w:szCs w:val="18"/>
        </w:rPr>
        <w:t xml:space="preserve"> a zabezpečovací</w:t>
      </w:r>
      <w:r w:rsidRPr="00EA228F">
        <w:rPr>
          <w:rFonts w:ascii="Verdana" w:hAnsi="Verdana" w:cs="Calibri"/>
          <w:sz w:val="18"/>
          <w:szCs w:val="18"/>
        </w:rPr>
        <w:t>m</w:t>
      </w:r>
      <w:r w:rsidR="00C95111" w:rsidRPr="00EA228F">
        <w:rPr>
          <w:rFonts w:ascii="Verdana" w:hAnsi="Verdana" w:cs="Calibri"/>
          <w:sz w:val="18"/>
          <w:szCs w:val="18"/>
        </w:rPr>
        <w:t xml:space="preserve"> zařízení, na kterém je zajištěn záruční a pozáruční servis nebo servis na základě jiného smluvního závazku</w:t>
      </w:r>
      <w:r w:rsidRPr="00EA228F">
        <w:rPr>
          <w:rFonts w:ascii="Verdana" w:hAnsi="Verdana" w:cs="Calibri"/>
          <w:sz w:val="18"/>
          <w:szCs w:val="18"/>
        </w:rPr>
        <w:t xml:space="preserve"> nejsou předmětem plnění této zakázky.</w:t>
      </w:r>
      <w:r w:rsidRPr="003320F3">
        <w:rPr>
          <w:rFonts w:ascii="Verdana" w:hAnsi="Verdana" w:cs="Calibri"/>
          <w:sz w:val="18"/>
          <w:szCs w:val="18"/>
        </w:rPr>
        <w:t xml:space="preserve"> </w:t>
      </w:r>
    </w:p>
    <w:p w14:paraId="5D1898EE" w14:textId="77777777" w:rsidR="00C95111" w:rsidRPr="00A1209B" w:rsidRDefault="00C95111" w:rsidP="00C95111">
      <w:pPr>
        <w:rPr>
          <w:rFonts w:ascii="Verdana" w:hAnsi="Verdana" w:cs="Calibri"/>
          <w:sz w:val="12"/>
          <w:szCs w:val="12"/>
        </w:rPr>
      </w:pPr>
    </w:p>
    <w:p w14:paraId="13AFC512" w14:textId="3038FC6A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 xml:space="preserve">Opravy budou provedeny včetně zákresu skutečného provedení do provozní dokumentace. Pokud bude nutné zpracovat dokumentaci před zahájením opravy, bude toto požadováno. To se týká </w:t>
      </w:r>
      <w:r w:rsidRPr="003320F3">
        <w:rPr>
          <w:rFonts w:ascii="Verdana" w:hAnsi="Verdana" w:cs="Calibri"/>
          <w:sz w:val="18"/>
          <w:szCs w:val="18"/>
        </w:rPr>
        <w:br/>
        <w:t>i případného požadavku na zajištění revize, prohlídky a zkoušky, technické prohlídky a zkoušky, geodetické práce a zhotovení technické dokumentace.</w:t>
      </w:r>
    </w:p>
    <w:p w14:paraId="6D75A389" w14:textId="55FFE2A3" w:rsidR="00C95111" w:rsidRPr="003320F3" w:rsidRDefault="00C95111" w:rsidP="00C95111">
      <w:pPr>
        <w:jc w:val="both"/>
        <w:rPr>
          <w:rFonts w:ascii="Verdana" w:hAnsi="Verdana" w:cs="Calibri"/>
          <w:sz w:val="22"/>
          <w:szCs w:val="22"/>
        </w:rPr>
      </w:pPr>
      <w:r w:rsidRPr="003320F3">
        <w:rPr>
          <w:rFonts w:ascii="Verdana" w:hAnsi="Verdana" w:cs="Calibri"/>
          <w:sz w:val="18"/>
          <w:szCs w:val="18"/>
        </w:rPr>
        <w:t xml:space="preserve">Bezprostředně po dokončení bude dodavatelem vyhotoven předávací protokol s uvedením skutečného stavu a výsledkem přezkoušení. Jeden jeho výtisk bude ihned předán zástupci SSZT </w:t>
      </w:r>
      <w:proofErr w:type="spellStart"/>
      <w:r w:rsidRPr="003320F3">
        <w:rPr>
          <w:rFonts w:ascii="Verdana" w:hAnsi="Verdana" w:cs="Calibri"/>
          <w:sz w:val="18"/>
          <w:szCs w:val="18"/>
        </w:rPr>
        <w:t>Pz</w:t>
      </w:r>
      <w:proofErr w:type="spellEnd"/>
      <w:r w:rsidRPr="003320F3">
        <w:rPr>
          <w:rFonts w:ascii="Verdana" w:hAnsi="Verdana" w:cs="Calibri"/>
          <w:sz w:val="18"/>
          <w:szCs w:val="18"/>
        </w:rPr>
        <w:t>.</w:t>
      </w:r>
    </w:p>
    <w:p w14:paraId="456B4837" w14:textId="288B6674" w:rsidR="00C95111" w:rsidRPr="00A1209B" w:rsidRDefault="00C95111" w:rsidP="00C95111">
      <w:pPr>
        <w:jc w:val="both"/>
        <w:rPr>
          <w:rFonts w:ascii="Verdana" w:hAnsi="Verdana" w:cs="Calibri"/>
          <w:sz w:val="12"/>
          <w:szCs w:val="12"/>
        </w:rPr>
      </w:pPr>
    </w:p>
    <w:p w14:paraId="3FBE37BA" w14:textId="77777777" w:rsidR="00C95111" w:rsidRPr="003320F3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3320F3">
        <w:rPr>
          <w:rFonts w:ascii="Verdana" w:hAnsi="Verdana" w:cs="Calibri"/>
          <w:sz w:val="18"/>
          <w:szCs w:val="18"/>
        </w:rPr>
        <w:t>V případě naléhavé potřeby na provedení havarijní opravy zajistí dodavatel tuto opravu dle momentální situace okamžitě.</w:t>
      </w:r>
    </w:p>
    <w:p w14:paraId="7F6CBAED" w14:textId="77777777" w:rsidR="00C95111" w:rsidRPr="00A1209B" w:rsidRDefault="00C95111" w:rsidP="00C95111">
      <w:pPr>
        <w:jc w:val="both"/>
        <w:rPr>
          <w:rFonts w:ascii="Verdana" w:hAnsi="Verdana" w:cs="Calibri"/>
          <w:sz w:val="12"/>
          <w:szCs w:val="12"/>
        </w:rPr>
      </w:pPr>
    </w:p>
    <w:p w14:paraId="094C0692" w14:textId="5360F8D0" w:rsidR="00C95111" w:rsidRPr="00BB2264" w:rsidRDefault="00C95111" w:rsidP="00C95111">
      <w:pPr>
        <w:jc w:val="both"/>
        <w:rPr>
          <w:rFonts w:ascii="Verdana" w:hAnsi="Verdana" w:cs="Calibri"/>
          <w:sz w:val="18"/>
          <w:szCs w:val="18"/>
        </w:rPr>
      </w:pPr>
      <w:r w:rsidRPr="00BB2264">
        <w:rPr>
          <w:rFonts w:ascii="Verdana" w:hAnsi="Verdana" w:cs="Calibri"/>
          <w:sz w:val="18"/>
          <w:szCs w:val="18"/>
        </w:rPr>
        <w:t xml:space="preserve">Doprava materiálu v rozsahu do 0,3 t a vzdálenosti do 50 km nad rámec prostoru technologické manipulace je započtena v položkách montáží (prací a výkonů); tyto náklady jsou součástí výrobní režie. Doprava osob a drobné mechanizace do 50 km je započtena v položkách montáží (prací </w:t>
      </w:r>
      <w:r w:rsidRPr="00BB2264">
        <w:rPr>
          <w:rFonts w:ascii="Verdana" w:hAnsi="Verdana" w:cs="Calibri"/>
          <w:sz w:val="18"/>
          <w:szCs w:val="18"/>
        </w:rPr>
        <w:br/>
        <w:t>a výkonů); tyto náklady jsou též součástí výrobní režie.</w:t>
      </w:r>
    </w:p>
    <w:p w14:paraId="114154BB" w14:textId="5074EAE9" w:rsidR="00BB2264" w:rsidRPr="003320F3" w:rsidRDefault="00BB2264" w:rsidP="00C95111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18"/>
          <w:szCs w:val="18"/>
        </w:rPr>
      </w:pPr>
    </w:p>
    <w:sectPr w:rsidR="00BB2264" w:rsidRPr="003320F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BC350" w14:textId="65AD2947" w:rsidR="00C95111" w:rsidRPr="00C95111" w:rsidRDefault="00C95111">
    <w:pPr>
      <w:pStyle w:val="Zhlav"/>
      <w:rPr>
        <w:rFonts w:ascii="Verdana" w:eastAsia="Calibri" w:hAnsi="Verdana"/>
        <w:b/>
        <w:sz w:val="22"/>
        <w:szCs w:val="22"/>
      </w:rPr>
    </w:pPr>
    <w:r>
      <w:rPr>
        <w:rFonts w:ascii="Verdana" w:eastAsia="Calibri" w:hAnsi="Verdana"/>
        <w:b/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34554"/>
    <w:multiLevelType w:val="hybridMultilevel"/>
    <w:tmpl w:val="A64AD79E"/>
    <w:lvl w:ilvl="0" w:tplc="C2BE7CF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4F27"/>
    <w:rsid w:val="000478CF"/>
    <w:rsid w:val="00067655"/>
    <w:rsid w:val="00070D6D"/>
    <w:rsid w:val="001035A3"/>
    <w:rsid w:val="00127826"/>
    <w:rsid w:val="00141B5B"/>
    <w:rsid w:val="001476BA"/>
    <w:rsid w:val="001965A5"/>
    <w:rsid w:val="001A62EE"/>
    <w:rsid w:val="002472E9"/>
    <w:rsid w:val="00264838"/>
    <w:rsid w:val="003320F3"/>
    <w:rsid w:val="00357D03"/>
    <w:rsid w:val="003727EC"/>
    <w:rsid w:val="003C2A5A"/>
    <w:rsid w:val="004964BE"/>
    <w:rsid w:val="004E12FD"/>
    <w:rsid w:val="004F678B"/>
    <w:rsid w:val="005B58EC"/>
    <w:rsid w:val="00623F81"/>
    <w:rsid w:val="006A276D"/>
    <w:rsid w:val="0071165F"/>
    <w:rsid w:val="00901E2C"/>
    <w:rsid w:val="009E369F"/>
    <w:rsid w:val="00A1209B"/>
    <w:rsid w:val="00A5407A"/>
    <w:rsid w:val="00A56AB2"/>
    <w:rsid w:val="00A6772A"/>
    <w:rsid w:val="00AE2C06"/>
    <w:rsid w:val="00B502C9"/>
    <w:rsid w:val="00B54276"/>
    <w:rsid w:val="00BB2264"/>
    <w:rsid w:val="00BF6A6B"/>
    <w:rsid w:val="00C64F5D"/>
    <w:rsid w:val="00C65DEB"/>
    <w:rsid w:val="00C95111"/>
    <w:rsid w:val="00CB4E8D"/>
    <w:rsid w:val="00D27977"/>
    <w:rsid w:val="00E76343"/>
    <w:rsid w:val="00E868BD"/>
    <w:rsid w:val="00EA228F"/>
    <w:rsid w:val="00F03B1A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96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615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14</cp:revision>
  <dcterms:created xsi:type="dcterms:W3CDTF">2023-09-14T08:41:00Z</dcterms:created>
  <dcterms:modified xsi:type="dcterms:W3CDTF">2023-09-22T10:25:00Z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